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104A0AD8">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lang w:val="en-US" w:eastAsia="zh-CN"/>
        </w:rPr>
      </w:pPr>
      <w:r>
        <w:rPr>
          <w:rFonts w:hint="eastAsia" w:ascii="思源宋体 CN Heavy" w:hAnsi="思源宋体 CN Heavy" w:eastAsia="思源宋体 CN Heavy" w:cs="思源宋体 CN Heavy"/>
          <w:b/>
          <w:bCs/>
          <w:color w:val="6787B2"/>
          <w:sz w:val="112"/>
          <w:szCs w:val="112"/>
          <w:lang w:val="en-US" w:eastAsia="zh-CN"/>
        </w:rPr>
        <w:t>生理学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6C2710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5D6F96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084A18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30821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426A5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774EF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C9619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61907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912B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4FB2AC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21D6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23B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AF3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细胞的基本功能</w:t>
            </w:r>
          </w:p>
        </w:tc>
        <w:tc>
          <w:tcPr>
            <w:tcW w:w="1372" w:type="dxa"/>
            <w:tcBorders>
              <w:tl2br w:val="nil"/>
              <w:tr2bl w:val="nil"/>
            </w:tcBorders>
            <w:shd w:val="clear" w:color="auto" w:fill="FFFFFF"/>
            <w:vAlign w:val="center"/>
          </w:tcPr>
          <w:p w14:paraId="1C5661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05F703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19A1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4B6C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05A1C7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w:t>
            </w:r>
          </w:p>
        </w:tc>
        <w:tc>
          <w:tcPr>
            <w:tcW w:w="1372" w:type="dxa"/>
            <w:tcBorders>
              <w:tl2br w:val="nil"/>
              <w:tr2bl w:val="nil"/>
            </w:tcBorders>
            <w:shd w:val="clear" w:color="auto" w:fill="FFFFFF"/>
            <w:vAlign w:val="center"/>
          </w:tcPr>
          <w:p w14:paraId="73DCFE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62F9E7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6C14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E668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FAC05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血液循环</w:t>
            </w:r>
          </w:p>
        </w:tc>
        <w:tc>
          <w:tcPr>
            <w:tcW w:w="1372" w:type="dxa"/>
            <w:tcBorders>
              <w:tl2br w:val="nil"/>
              <w:tr2bl w:val="nil"/>
            </w:tcBorders>
            <w:shd w:val="clear" w:color="auto" w:fill="FFFFFF"/>
            <w:vAlign w:val="center"/>
          </w:tcPr>
          <w:p w14:paraId="5E2D23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7A9B5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CFA4D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7B181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656D6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呼吸</w:t>
            </w:r>
          </w:p>
        </w:tc>
        <w:tc>
          <w:tcPr>
            <w:tcW w:w="1372" w:type="dxa"/>
            <w:tcBorders>
              <w:tl2br w:val="nil"/>
              <w:tr2bl w:val="nil"/>
            </w:tcBorders>
            <w:shd w:val="clear" w:color="auto" w:fill="FFFFFF"/>
            <w:vAlign w:val="center"/>
          </w:tcPr>
          <w:p w14:paraId="5DF7C3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2D2FAB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D9C78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1BB5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A3E61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消化与吸收</w:t>
            </w:r>
          </w:p>
        </w:tc>
        <w:tc>
          <w:tcPr>
            <w:tcW w:w="1372" w:type="dxa"/>
            <w:tcBorders>
              <w:tl2br w:val="nil"/>
              <w:tr2bl w:val="nil"/>
            </w:tcBorders>
            <w:shd w:val="clear" w:color="auto" w:fill="FFFFFF"/>
            <w:vAlign w:val="center"/>
          </w:tcPr>
          <w:p w14:paraId="2661FB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C402A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793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2147E6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0EDF2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能量代谢与体温</w:t>
            </w:r>
          </w:p>
        </w:tc>
        <w:tc>
          <w:tcPr>
            <w:tcW w:w="1372" w:type="dxa"/>
            <w:tcBorders>
              <w:tl2br w:val="nil"/>
              <w:tr2bl w:val="nil"/>
            </w:tcBorders>
            <w:shd w:val="clear" w:color="auto" w:fill="FFFFFF"/>
            <w:vAlign w:val="center"/>
          </w:tcPr>
          <w:p w14:paraId="08701B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B4BBC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B1B8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9E23FD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5D5322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尿的生成与排出</w:t>
            </w:r>
          </w:p>
        </w:tc>
        <w:tc>
          <w:tcPr>
            <w:tcW w:w="1372" w:type="dxa"/>
            <w:tcBorders>
              <w:tl2br w:val="nil"/>
              <w:tr2bl w:val="nil"/>
            </w:tcBorders>
            <w:shd w:val="clear" w:color="auto" w:fill="FFFFFF"/>
            <w:vAlign w:val="center"/>
          </w:tcPr>
          <w:p w14:paraId="4562A2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44C3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A15D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938F9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26B5C1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感觉器官的功能</w:t>
            </w:r>
          </w:p>
        </w:tc>
        <w:tc>
          <w:tcPr>
            <w:tcW w:w="1372" w:type="dxa"/>
            <w:tcBorders>
              <w:tl2br w:val="nil"/>
              <w:tr2bl w:val="nil"/>
            </w:tcBorders>
            <w:shd w:val="clear" w:color="auto" w:fill="FFFFFF"/>
            <w:vAlign w:val="center"/>
          </w:tcPr>
          <w:p w14:paraId="4F053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787E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F95AE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EEC2E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756198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神经系统的功能</w:t>
            </w:r>
          </w:p>
        </w:tc>
        <w:tc>
          <w:tcPr>
            <w:tcW w:w="1372" w:type="dxa"/>
            <w:tcBorders>
              <w:tl2br w:val="nil"/>
              <w:tr2bl w:val="nil"/>
            </w:tcBorders>
            <w:shd w:val="clear" w:color="auto" w:fill="FFFFFF"/>
            <w:vAlign w:val="center"/>
          </w:tcPr>
          <w:p w14:paraId="71748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7F9940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74929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A43B0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67FC7A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内分泌</w:t>
            </w:r>
          </w:p>
        </w:tc>
        <w:tc>
          <w:tcPr>
            <w:tcW w:w="1372" w:type="dxa"/>
            <w:tcBorders>
              <w:tl2br w:val="nil"/>
              <w:tr2bl w:val="nil"/>
            </w:tcBorders>
            <w:shd w:val="clear" w:color="auto" w:fill="FFFFFF"/>
            <w:vAlign w:val="center"/>
          </w:tcPr>
          <w:p w14:paraId="6A2FD8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47494D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34A4A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4569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3C8C0B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生殖</w:t>
            </w:r>
          </w:p>
        </w:tc>
        <w:tc>
          <w:tcPr>
            <w:tcW w:w="1372" w:type="dxa"/>
            <w:tcBorders>
              <w:tl2br w:val="nil"/>
              <w:tr2bl w:val="nil"/>
            </w:tcBorders>
            <w:shd w:val="clear" w:color="auto" w:fill="FFFFFF"/>
            <w:vAlign w:val="center"/>
          </w:tcPr>
          <w:p w14:paraId="66DB2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CE63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334FF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47250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25DEA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CFE9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l2br w:val="nil"/>
              <w:tr2bl w:val="nil"/>
            </w:tcBorders>
            <w:shd w:val="clear" w:color="auto" w:fill="FFFFFF"/>
            <w:vAlign w:val="center"/>
          </w:tcPr>
          <w:p w14:paraId="6BA223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57EB035E">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7</w:t>
      </w:r>
      <w:r>
        <w:rPr>
          <w:rFonts w:hint="eastAsia"/>
          <w:color w:val="6787B2"/>
        </w:rPr>
        <w:t>课</w:t>
      </w:r>
      <w:r>
        <w:rPr>
          <w:rFonts w:hint="eastAsia"/>
          <w:color w:val="6787B2"/>
          <w:lang w:val="en-US" w:eastAsia="zh-CN"/>
        </w:rPr>
        <w:t xml:space="preserve">  </w:t>
      </w:r>
      <w:r>
        <w:rPr>
          <w:rFonts w:hint="eastAsia"/>
          <w:color w:val="6787B2"/>
          <w:lang w:eastAsia="zh-CN"/>
        </w:rPr>
        <w:t>能量代谢与体温</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41071E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BF713D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636A044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能量代谢与体温</w:t>
            </w:r>
          </w:p>
        </w:tc>
      </w:tr>
      <w:tr w14:paraId="55D700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3E9E41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36D8E81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min）。</w:t>
            </w:r>
          </w:p>
        </w:tc>
      </w:tr>
      <w:tr w14:paraId="6B6AC24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2F2820C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5EF2D7DC">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74C97CE8">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了解体温调节机制。</w:t>
            </w:r>
          </w:p>
          <w:p w14:paraId="079E779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掌握能量代谢、呼吸商、基础代谢率、体温计调定点的概念。</w:t>
            </w:r>
          </w:p>
          <w:p w14:paraId="732489A9">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0111FF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能量代谢与体温</w:t>
            </w:r>
            <w:r>
              <w:rPr>
                <w:rFonts w:hint="eastAsia" w:ascii="Times New Roman" w:hAnsi="宋体"/>
                <w:bCs/>
                <w:szCs w:val="20"/>
              </w:rPr>
              <w:t>，培养学生养成良好的运动习惯，增强体质；养成科学的思维方式，提高理论联系临床的综合实践能力。</w:t>
            </w:r>
          </w:p>
        </w:tc>
      </w:tr>
      <w:tr w14:paraId="6102729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4F147FA">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14A13C66">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能量代谢</w:t>
            </w:r>
          </w:p>
          <w:p w14:paraId="50D7336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体温及其调节</w:t>
            </w:r>
          </w:p>
        </w:tc>
      </w:tr>
      <w:tr w14:paraId="067E756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2CE7794">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36799DF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2DB9D6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98EB198">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1866F4C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9EBF63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AF8FF"/>
            <w:vAlign w:val="center"/>
          </w:tcPr>
          <w:p w14:paraId="6B82C98C">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37EE1E40">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0B5375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A10A203">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3083DBA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AF8FF"/>
            <w:vAlign w:val="center"/>
          </w:tcPr>
          <w:p w14:paraId="65C33FA6">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AF8FF"/>
            <w:vAlign w:val="center"/>
          </w:tcPr>
          <w:p w14:paraId="1AE1A0E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AF8FF"/>
            <w:vAlign w:val="center"/>
          </w:tcPr>
          <w:p w14:paraId="7B0D50E2">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740C53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AF8FF"/>
            <w:vAlign w:val="center"/>
          </w:tcPr>
          <w:p w14:paraId="6C7C6F89">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1C410CA7">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39F92F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3766F1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6F61AA11">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7DEE9EA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95870FB">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362BCA9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0058B20">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展示能量代谢（</w:t>
            </w:r>
            <w:r>
              <w:rPr>
                <w:rFonts w:hint="eastAsia" w:ascii="Times New Roman" w:hAnsi="Times New Roman"/>
                <w:b w:val="0"/>
                <w:bCs/>
                <w:color w:val="C00000"/>
                <w:lang w:val="en-US" w:eastAsia="zh-CN"/>
              </w:rPr>
              <w:t>一）</w:t>
            </w:r>
          </w:p>
          <w:p w14:paraId="4493CE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一、机体能量的来源和利用</w:t>
            </w:r>
          </w:p>
          <w:p w14:paraId="279D84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人体一切活动所需的能量，都来源于食物中三大营养物质（糖、脂肪、蛋白质）的氧化分解。一般情况下，人体所需的能量50% ～ 70% 由糖提供，脑组织所需能量则完全来源于糖的有氧氧化。</w:t>
            </w:r>
          </w:p>
          <w:p w14:paraId="4445B5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因此，糖是机体主要的能源物质。在人体的全部能量中，大约有 50%体内能量的释放、转移、贮存和利用动态示意图以上的能量直接转化为热能，维持机体体温并不断通过体表散发，其余部分以化学能的形式贮存于三磷酸腺苷（adenosine triphosphate，ATP）中。ATP 分解释放出能量，供应人体合成代谢以及各种生理活动的需要。可见，ATP 是体内重要的贮能和直接的供能物质。</w:t>
            </w:r>
          </w:p>
          <w:p w14:paraId="6FB85C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二、能量代谢的测定</w:t>
            </w:r>
          </w:p>
          <w:p w14:paraId="14B05D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机体的能量代谢水平通常用能量代谢率作为评价指标。根据能量守恒定律，机体的能量代谢率可通过测定一定时间内所消耗的营养物质内包含的能量，或者通过测定机体一定时间内的产热量和所做的外功量来计算。机体安静时，避免了做外功，即可通过散热量得出能量代谢率。测定能量代谢率通常采用直接测热法和间接测热法两种方法。</w:t>
            </w:r>
          </w:p>
          <w:p w14:paraId="5C2631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（一）直接测热法</w:t>
            </w:r>
          </w:p>
          <w:p w14:paraId="1CA037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直接测热法是利用热量计直接测量机体安静状态下在一定时间内所散发热量的方法。一般主要用于科学研究。</w:t>
            </w:r>
          </w:p>
          <w:p w14:paraId="1B29D7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（二）间接测热法</w:t>
            </w:r>
          </w:p>
          <w:p w14:paraId="488B3A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间接测热法是根据受试者安静状态下在一定时间内的耗氧量和 CO2 产生量，推算消耗能源物质的量，进而计算出产热量的方法。</w:t>
            </w:r>
          </w:p>
          <w:p w14:paraId="44DEDF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由于食物的结构不同，氧化时所产生的热量和耗 O2 量也不同，因此，必须了解食物的热价、氧热价和呼吸商等有关概念。</w:t>
            </w:r>
          </w:p>
          <w:p w14:paraId="1B1756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食物的热价　食物的热价（thermal equivalent of food）是指 1g 食物被氧化时所释放出来的热量，也称卡价，可用于计算食物的含热量。其分为物理热价和生物热价，前者是指食物在体外燃烧时所释放的热量，后者是指食物在体内氧化时所释放的热量。</w:t>
            </w:r>
          </w:p>
          <w:p w14:paraId="750CDE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食物的氧热价　某种物质被氧化时，每消耗 1 LO2 所产生的热量称为该物质的氧热价（thermal equivalent of oxygen）。它是用耗 O2 量推算产热量的基础。</w:t>
            </w:r>
          </w:p>
          <w:p w14:paraId="221B68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呼吸商　生理学上将氧化某一种营养物质时 CO2 产生量与耗 O2 量的比值称为该物质的呼吸商（respiratory quotient，RQ）。即</w:t>
            </w:r>
          </w:p>
          <w:p w14:paraId="182422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center"/>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rPr>
              <w:drawing>
                <wp:inline distT="0" distB="0" distL="114300" distR="114300">
                  <wp:extent cx="1943100" cy="619125"/>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1943100" cy="619125"/>
                          </a:xfrm>
                          <a:prstGeom prst="rect">
                            <a:avLst/>
                          </a:prstGeom>
                          <a:noFill/>
                          <a:ln>
                            <a:noFill/>
                          </a:ln>
                        </pic:spPr>
                      </pic:pic>
                    </a:graphicData>
                  </a:graphic>
                </wp:inline>
              </w:drawing>
            </w:r>
          </w:p>
          <w:p w14:paraId="538530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由于各种营养物质的碳、氧含量不同，在体内氧化时的 CO2 产生量和耗 O2 量亦不相同，故呼吸商也不同。</w:t>
            </w:r>
          </w:p>
          <w:p w14:paraId="6ADB07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正常人体内蛋白质氧化时的产热量可以忽略不计，由糖和脂肪氧化时产生的 CO2 量和耗 O2 量的比值，称为非蛋白呼吸商（non-protein quotient，NPRQ）。我国正常成年人在基础状态下的非蛋白呼吸商约为 0.82。三种主要营养物质的热价、氧热价、呼吸商见。正常人进食混合食物，呼吸商约为 0.85。显示了非蛋白呼吸商与氧热价的数据。</w:t>
            </w:r>
          </w:p>
          <w:p w14:paraId="504279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（三）能量平衡</w:t>
            </w:r>
          </w:p>
          <w:p w14:paraId="5B7F81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体的能量平衡是指摄入的能量与消耗的能量之间的平衡。若摄入能量少于消耗能量，机体即动用储存能量，出现体重减轻，称为能量负平衡；反之体重增加，称为能量正平衡。过度消瘦会使机体抵抗力下降，而肥胖则可引发心脑血管疾病、高脂血症等多种疾病。临床上常用体质指数和腰围作为判断肥胖的简易诊断指标。体质指数是指体重（kg）除以身高（m）的平方所得的商，在我国，成人体质指数为 24 可视为超重界限、28 为肥胖界限。成人的腰围男性不宜超过 85cm、女性不宜超过 80cm。</w:t>
            </w:r>
          </w:p>
          <w:p w14:paraId="4CB1D2FE">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33BCC14">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展示能量代谢（一）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0E70BA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A33039D">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4A59E43E">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85C2A9A">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能量平衡。</w:t>
            </w:r>
          </w:p>
        </w:tc>
        <w:tc>
          <w:tcPr>
            <w:tcW w:w="1366" w:type="dxa"/>
            <w:tcBorders>
              <w:tl2br w:val="nil"/>
              <w:tr2bl w:val="nil"/>
            </w:tcBorders>
            <w:vAlign w:val="center"/>
          </w:tcPr>
          <w:p w14:paraId="17226BE0">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CEC0F7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41FC39D">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3B5FBD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F825D9A">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展示能量代谢（</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79458EC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三、影响能量代谢的因素</w:t>
            </w:r>
          </w:p>
          <w:p w14:paraId="7E622B5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人体的能量代谢受多方面因素影响，下面做简要介绍。</w:t>
            </w:r>
          </w:p>
          <w:p w14:paraId="5B9D893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（一）肌肉活动</w:t>
            </w:r>
          </w:p>
          <w:p w14:paraId="2409044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肌肉活动对能量代谢的影响最为显著，人体剧烈运动或极强劳动时，其产热量可比平静时增加 10 ～ 20 倍。图 7-2 显示了不同强度劳动或运动时，能量代谢的增长情况。</w:t>
            </w:r>
          </w:p>
          <w:p w14:paraId="21C7EEE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（二）环境温度</w:t>
            </w:r>
          </w:p>
          <w:p w14:paraId="0113F9D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机体在安静状态下，环境温度为 20℃～ 30℃时能量代谢率最为稳定。环境温度降低或升高，能量代谢率均将增高。</w:t>
            </w:r>
          </w:p>
          <w:p w14:paraId="0F01A7A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（三）食物的特殊动力效应</w:t>
            </w:r>
          </w:p>
          <w:p w14:paraId="429D3CC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进食之后人体即使处于安静状态，其产热量也会比进食前增加。这种由摄入食物刺激人体产生额外能量消耗的作用称为食物的特殊动力效应（specific dynamic effect）。进食蛋白质类产生的特殊动力效应最大，可达 30% 左右；进混合性食物可增加产热量约为10%。</w:t>
            </w:r>
          </w:p>
          <w:p w14:paraId="6FD25E5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（四）精神活动</w:t>
            </w:r>
          </w:p>
          <w:p w14:paraId="054BAE6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精神和情绪活动对能量代谢也有较大影响。人体处于精神紧张状态下，如烦恼、激动、发怒、恐惧及焦虑等，能量代谢率可显著增高。</w:t>
            </w:r>
          </w:p>
          <w:p w14:paraId="18D9427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四、基础代谢</w:t>
            </w:r>
          </w:p>
          <w:p w14:paraId="4DEF568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基础代谢是指人体在基础状态下的能量代谢。单位时间内的基础代谢称为基础代谢率（basal metabolism rate，BMR）。所谓基础状态是指人体处于：①室温 20℃～ 25℃；②空腹（禁食 12h 以上）；③清醒、静卧；④精神安宁。这时人体能量消耗主要用于维持心跳、呼吸等基本生命活动。基础代谢率不是人体最低的能量代谢率，熟睡时的能量代谢更低，但做梦时可增高。基础代谢率通常以 kJ / （m2·h）来表示。基础代谢率与年龄、性别均有关系。我国正常人基础代谢率的平均值。</w:t>
            </w:r>
          </w:p>
          <w:p w14:paraId="0862CE1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能量代谢率的高低与体重不成比例关系，而是与体表面积成正比。因此，能量代谢率常以单位时间（每天或每小时）单位体表面积的产热量作为计量单位。</w:t>
            </w:r>
          </w:p>
          <w:p w14:paraId="6BCD24CD">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AF499CF">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能量代谢（二）的基本理论知</w:t>
            </w:r>
            <w:r>
              <w:rPr>
                <w:rFonts w:hint="eastAsia" w:ascii="Times New Roman" w:hAnsi="Times New Roman"/>
                <w:b/>
                <w:szCs w:val="24"/>
              </w:rPr>
              <w:t>识。</w:t>
            </w:r>
          </w:p>
        </w:tc>
      </w:tr>
      <w:tr w14:paraId="399B694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655F95B">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61B842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B7367D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1CB5201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能量代谢，让学生知道新陈代谢过程中既有物质代谢，又有能量代谢，两者密不可分。</w:t>
            </w:r>
          </w:p>
        </w:tc>
        <w:tc>
          <w:tcPr>
            <w:tcW w:w="1366" w:type="dxa"/>
            <w:tcBorders>
              <w:tl2br w:val="nil"/>
              <w:tr2bl w:val="nil"/>
            </w:tcBorders>
            <w:vAlign w:val="center"/>
          </w:tcPr>
          <w:p w14:paraId="61D75C76">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7E890B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DEF8B28">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B2D2D5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37E04765">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简述影响能量代谢的因素。</w:t>
            </w:r>
          </w:p>
        </w:tc>
        <w:tc>
          <w:tcPr>
            <w:tcW w:w="1366" w:type="dxa"/>
            <w:tcBorders>
              <w:tl2br w:val="nil"/>
              <w:tr2bl w:val="nil"/>
            </w:tcBorders>
            <w:vAlign w:val="center"/>
          </w:tcPr>
          <w:p w14:paraId="7639BB32">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6A5FFB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24C7ED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F0B213D">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展示体温及其调节</w:t>
            </w:r>
          </w:p>
          <w:p w14:paraId="186305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一、体温及其生理变动</w:t>
            </w:r>
          </w:p>
          <w:p w14:paraId="258AED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（一）体温</w:t>
            </w:r>
          </w:p>
          <w:p w14:paraId="664D99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由于血液不停地循环流动，热量不停地交换，故人体各部的温度较为稳定，基本趋于一致。</w:t>
            </w:r>
          </w:p>
          <w:p w14:paraId="4CCABA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由于体核温度不易测试，临床上通常测量直肠、口腔、腋窝的温度来代表体温。直肠温度正常为 36.9℃～ 37.9℃；口腔温度的正常值为 36.7℃～ 37.7℃，腋下温度正常值为 36.0℃～ 37.4℃。</w:t>
            </w:r>
          </w:p>
          <w:p w14:paraId="1D6241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（二）体温的生理变动</w:t>
            </w:r>
          </w:p>
          <w:p w14:paraId="45EFC6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生理情况下，体温可随昼夜节律、年龄、性别等因素而波动。</w:t>
            </w:r>
          </w:p>
          <w:p w14:paraId="76E307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昼夜节律　正常人体温按昼夜呈现周期性波动，凌晨 2 ～ 6 h 体温最低，午后1 ～ 6 h 最高，这种昼夜周期性波动称为昼夜节律。</w:t>
            </w:r>
          </w:p>
          <w:p w14:paraId="046325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性别　通常情况下，成年女性的平均体温比男性约高 0.3℃。育龄期女性的基础体温还随月经周期发生规律性变化，排卵期体温较低，排卵日最低，而后体温升高。每天测定育龄期女性基础体温的变化可以判断其排卵的日期以及有无排卵。</w:t>
            </w:r>
          </w:p>
          <w:p w14:paraId="22AC2D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年龄　儿童和青少年的体温较高，老年人因基础代谢率而体温偏低。新生儿特别是早产儿，由于体温调节中枢尚未发育成熟，其体温易受环境温度的影响。因此，临床上要注意老年人和新生儿的保温护理。</w:t>
            </w:r>
          </w:p>
          <w:p w14:paraId="7FB5D5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肌肉运动与精神因素　肌肉活动、情绪激动、精神紧张和进食等都会对体温产生影响，因此，在测量体温时，要让受试者在安静状态下进行。</w:t>
            </w:r>
          </w:p>
          <w:p w14:paraId="474B7D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其他因素　麻醉药物能降低体温，因此，对于麻醉手术的患者，在术后一段时间，要特别注意保温护理。</w:t>
            </w:r>
          </w:p>
          <w:p w14:paraId="6B8626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二、机体的产热与散热</w:t>
            </w:r>
          </w:p>
          <w:p w14:paraId="7A3219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人体体温的正常维持及相对恒定是产热和散热保持动态平衡的结果。</w:t>
            </w:r>
          </w:p>
          <w:p w14:paraId="76B0C7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（一）产热反应</w:t>
            </w:r>
          </w:p>
          <w:p w14:paraId="426748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人体安静时，主要的产热部位是内脏。肝脏的代谢水平最高，产热量最大。劳动或运动时，骨骼肌是主要的产热器官。此外，人体在寒冷环境中褐色脂肪组织发挥重要的产热作用，特别在新生儿尤为重要。</w:t>
            </w:r>
          </w:p>
          <w:p w14:paraId="4C019A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（二）散热反应</w:t>
            </w:r>
          </w:p>
          <w:p w14:paraId="361F7B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人体散热的主要途径有皮肤、呼吸道、消化道、泌尿道等，其中最主要的散热部位是皮肤。</w:t>
            </w:r>
          </w:p>
          <w:p w14:paraId="472C1B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几种主要的散热方式</w:t>
            </w:r>
          </w:p>
          <w:p w14:paraId="12B1C8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（1）辐射：是指人体以热射线的形式将体热传给外界较冷物体的散热方式。辐射散热量的多少取决于皮肤与环境温差及人体有效辐射面积。人体在 21℃的环境中，裸体时有 60% 的热量是通过辐射方式散发的。</w:t>
            </w:r>
          </w:p>
          <w:p w14:paraId="25E3B8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传导：是指人体将热量直接传递给同它接触的较冷物体的一种散热方式。其散热量的多少，除了人体与物体的接触面积、温差大小有关外，还和物体的导热性能有关。临床治疗或日常生活中常用冰袋、冰帽给高热患者降温。</w:t>
            </w:r>
          </w:p>
          <w:p w14:paraId="50F7AA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（3）对流：是指通过气体流动来交换热量的一种方式。散热的多少取决于气体的流速。如风速越大，散热越多；相反，风速越小，散热量也越小。</w:t>
            </w:r>
          </w:p>
          <w:p w14:paraId="23DA28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以辐射、传导、对流的方式散热只有在体表温度高于环境温度的前提下才能进行。一旦环境温度等于或高于体表温度（约 30℃）时，辐射、传导和对流散热就会停止，人体不但不能运用上述方式散热，反而会从周围环境吸热，此时，蒸发便成为体表散热的唯一方式。</w:t>
            </w:r>
          </w:p>
          <w:p w14:paraId="64D1BD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蒸发：蒸发是利用水分从体表汽化时吸收体热的一种散热方式。当环境温度等于或高于皮肤温度时，蒸发成为机体唯一有效的散热形式。临床上对一些高热不退的患者采用乙醇擦浴，就是利用蒸发散热的原理。</w:t>
            </w:r>
          </w:p>
          <w:p w14:paraId="658AAE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蒸发的形式分为不感蒸发（不显汗）和可感蒸发（显汗）两种。不感蒸发是指水分直接透出皮肤和黏膜表面，在未聚成明显水滴之前便被蒸发的一种形式。与汗腺活动无关。临床上补液时应注意加上不感蒸发所丢失的这部分液体量。可感蒸发是指通过汗腺分泌在皮肤表面有明显汗滴存在而被蒸发的方式。通过汗液蒸发可散发大量体热，使体热不至于淤积体内导致体温骤升。</w:t>
            </w:r>
          </w:p>
          <w:p w14:paraId="3D6DFC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散热反应的调节</w:t>
            </w:r>
          </w:p>
          <w:p w14:paraId="3D5F9A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皮肤血流量的调节：通过辐射、传导、对流方式散热的多少取决于皮肤与环境之间的温度差，而皮肤温度的高低则决定于流经皮肤的血流量的多少。因此，皮肤的血流量对体热的散发有重要的调节作用。机体主要通过调节交感神经的紧张度来控制皮肤血管口径，从而改变皮肤的血流量。</w:t>
            </w:r>
          </w:p>
          <w:p w14:paraId="6A01B7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发汗的调节：发汗速度取决于参与活动的汗腺数量和活动强度。人在高温、高湿、小风速（或无风）环境中，不但辐射、传导、对流的散热停止，蒸发散热也很困难，造成体热淤积，容易发生中暑。当机体大量出汗而造成脱水时，常表现为高渗性脱水。</w:t>
            </w:r>
          </w:p>
          <w:p w14:paraId="4A18E6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除温热性出汗外，精神紧张和情绪激动，也可引起出汗，称为精神性出汗。精神性出汗的汗液主要见于手掌、足跖、腋窝等处，在体温调节中意义不大。</w:t>
            </w:r>
          </w:p>
          <w:p w14:paraId="54F251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三、体温调节</w:t>
            </w:r>
          </w:p>
          <w:p w14:paraId="7CADB5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体温调节主要分为自主性体温调节和行为性体温调节。自主性体温调节是在下丘脑体温调节中枢控制下，随机体内外环境温热性刺激信息的变化，通过增减皮肤血流量、发汗、战栗等生理反应，使人体的产热和散热保持平衡。行为性体温调节是指机体通过一定的行为来保持体温相对恒定。行为性体温调节是以自主性体温调节为基础的，是对自主性体温调节的补充。人类的生火取暖、衣着增减、人工御寒防暑措施等，均属行为性体温调节。下面主要讨论自主性体温调节。</w:t>
            </w:r>
          </w:p>
          <w:p w14:paraId="043367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（一）温度感受器</w:t>
            </w:r>
          </w:p>
          <w:p w14:paraId="4DF2F4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外周温度感受器　在皮肤、黏膜和内脏等处都存在温度感受器，包括热觉感受器和冷觉感受器。它们的传入冲动频率在一定范围内能灵敏反映温度的改变，对机体外周部位的温度起监测作用。外周温度感受器除产生温度感觉之外，还能引起体温调节反应。</w:t>
            </w:r>
          </w:p>
          <w:p w14:paraId="676D19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中枢性温度感受器　此感受器存在于下丘脑、脑干网状结构和脊髓等部位，分为热敏神经元和冷敏神经元。在视前区 - 下丘脑前部（preoptic anterior hypothalamusarea，PO / AH）热敏神经元较多。在脑干网状结构和下丘脑的弓状核中以冷敏神经元居多。</w:t>
            </w:r>
          </w:p>
          <w:p w14:paraId="6FD211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（二）体温调节中枢</w:t>
            </w:r>
          </w:p>
          <w:p w14:paraId="6A14B3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具有体温调节作用的中枢结构，广泛存在于中枢神经系统各级部位。实验证明，只要保持下丘脑及其以下部位神经系统结构完整，动物便具有维持体温恒定的能力，这说明体温调节的基本中枢在下丘脑。现已证明，PO / AH 是机体最重要的体温调节中枢。</w:t>
            </w:r>
          </w:p>
          <w:p w14:paraId="67C015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（三）体温调定点</w:t>
            </w:r>
          </w:p>
          <w:p w14:paraId="11B876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机体在各种环境下保持体温相对稳定的机制，基本上可以用调定点学说来解释。调定点学说认为：体温的调节类似于恒温调节器，PO / AH 的中枢性温度敏感神经元，在体温调节中起调定点的作用。一般认为，人体正常体温调定点为 37 ℃，当体温超过 37.0℃时，可刺激热敏神经元兴奋，使散热增加，产热减少，将升高了的体温调回到 37.0℃，使产热和散热达到平衡。当体温低于 37.0℃时，则刺激冷敏神经元兴奋，使产热增加，散热减少，将降低了的体温回升到 37.0℃，又达到了产热和散热的平衡，这样就可使体温较稳定地维持在 37.0℃。</w:t>
            </w:r>
          </w:p>
          <w:p w14:paraId="49D92E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由病原微生物（致热原）引起的发热，是致热原使热敏神经元兴奋性下降，使调定点设定数值上移所致。比如调定点上移至 39.0℃，实际体温为 37.0℃时，则可兴奋冷敏神经元引起产热反应和抑制出汗，使患者出现恶寒战栗、无汗等发热的临床表现。当体温上升达到 39.0℃时，热敏神经元和冷敏神经元活动处于平衡状态，保持了产热与散热的平衡，致使体温维持在 39.0℃。如果致热原被清除，调定点设定的数值恢复至37.0℃，此时 39.0℃的体温就会兴奋热敏神经元，从而抑制产热反应，增强散热反应，出现皮肤血管扩张、出汗等退热的临床表现，体温随之回降至 37.0℃，并在此水平上维持产热和散热的平衡，体温又恢复正常。</w:t>
            </w:r>
          </w:p>
          <w:p w14:paraId="70C2A9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5A6B6C3">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展示体温及其调节</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体温及其调节</w:t>
            </w:r>
            <w:r>
              <w:rPr>
                <w:rFonts w:hint="eastAsia" w:ascii="Times New Roman" w:hAnsi="Times New Roman"/>
                <w:b/>
                <w:szCs w:val="24"/>
              </w:rPr>
              <w:t>的基本理论知识。</w:t>
            </w:r>
          </w:p>
        </w:tc>
      </w:tr>
      <w:tr w14:paraId="114241E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A1627D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1A250E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281BC1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6749C7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体温及其调节，人体体温作为基本的生命体征是判断健康状况的重要指标。</w:t>
            </w:r>
          </w:p>
        </w:tc>
        <w:tc>
          <w:tcPr>
            <w:tcW w:w="1366" w:type="dxa"/>
            <w:tcBorders>
              <w:tl2br w:val="nil"/>
              <w:tr2bl w:val="nil"/>
            </w:tcBorders>
            <w:vAlign w:val="center"/>
          </w:tcPr>
          <w:p w14:paraId="163D358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9E985B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30ADAE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C38F77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1D5D14C">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简述体温调定点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57B88BA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02D62E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FA1A54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49257892">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指导学生学会总结。章节内容结束后，引导学生分析哪些知识学会了，哪些知识理解了，哪些知识还不会，哪些方法是常见解法，哪些方法是特殊解法。</w:t>
            </w:r>
          </w:p>
        </w:tc>
      </w:tr>
      <w:bookmarkEnd w:id="0"/>
    </w:tbl>
    <w:p w14:paraId="1A753E1C"/>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740681F-E4CA-426F-A27E-A6ED4980079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2A7A3255-ED70-42BF-A981-4884BBB51C6D}"/>
  </w:font>
  <w:font w:name="微软雅黑">
    <w:panose1 w:val="020B0503020204020204"/>
    <w:charset w:val="86"/>
    <w:family w:val="auto"/>
    <w:pitch w:val="default"/>
    <w:sig w:usb0="80000287" w:usb1="2ACF3C50" w:usb2="00000016" w:usb3="00000000" w:csb0="0004001F" w:csb1="00000000"/>
    <w:embedRegular r:id="rId3" w:fontKey="{20EF63B6-8755-4534-A873-B9B4F96F6EB3}"/>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FDA3841F-A884-49EB-8C15-8855024B7D7D}"/>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C2D0C702-3BC6-4FAB-85F0-FF05C895BF07}"/>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3BA76EC"/>
    <w:rsid w:val="09F559B3"/>
    <w:rsid w:val="0AC91BFE"/>
    <w:rsid w:val="0D0A5F71"/>
    <w:rsid w:val="0E3C75E8"/>
    <w:rsid w:val="0FC770EF"/>
    <w:rsid w:val="1D167BBB"/>
    <w:rsid w:val="1FB84519"/>
    <w:rsid w:val="2003061B"/>
    <w:rsid w:val="20F13C9B"/>
    <w:rsid w:val="238347DF"/>
    <w:rsid w:val="247578DE"/>
    <w:rsid w:val="24B477DD"/>
    <w:rsid w:val="2746390C"/>
    <w:rsid w:val="278141AB"/>
    <w:rsid w:val="28B578A7"/>
    <w:rsid w:val="29B14DA1"/>
    <w:rsid w:val="31DC0F7C"/>
    <w:rsid w:val="322A12C5"/>
    <w:rsid w:val="34AD60CD"/>
    <w:rsid w:val="34B67F89"/>
    <w:rsid w:val="368D542E"/>
    <w:rsid w:val="388B134B"/>
    <w:rsid w:val="436C72A2"/>
    <w:rsid w:val="43CD7F64"/>
    <w:rsid w:val="44B33A23"/>
    <w:rsid w:val="45C91BBA"/>
    <w:rsid w:val="487E54FB"/>
    <w:rsid w:val="48D03190"/>
    <w:rsid w:val="49F8701E"/>
    <w:rsid w:val="4C7F0E23"/>
    <w:rsid w:val="53FC1C54"/>
    <w:rsid w:val="54F41FB5"/>
    <w:rsid w:val="582E68E8"/>
    <w:rsid w:val="5A7C6694"/>
    <w:rsid w:val="5FFC3909"/>
    <w:rsid w:val="600E33E1"/>
    <w:rsid w:val="622A303A"/>
    <w:rsid w:val="633A04D8"/>
    <w:rsid w:val="64133A3F"/>
    <w:rsid w:val="69CC12FA"/>
    <w:rsid w:val="6ED554B1"/>
    <w:rsid w:val="723010AC"/>
    <w:rsid w:val="75862CA5"/>
    <w:rsid w:val="7E1F5A45"/>
    <w:rsid w:val="7E5C0C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10</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2025-07-23T02:48:21Z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1F7B83FEAC18455EB94EC7B50DB1AAD0_13</vt:lpwstr>
  </property>
  <property fmtid="{D5CDD505-2E9C-101B-9397-08002B2CF9AE}" pid="4" name="KSOTemplateDocerSaveRecord">
    <vt:lpwstr>eyJoZGlkIjoiOTcxZjc4Y2ViNTBlZDVmZTI3YTAxZGE1NWVmM2E2NDEiLCJ1c2VySWQiOiI0MDMzMDA2MzYifQ==</vt:lpwstr>
  </property>
</Properties>
</file>